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B" w:rsidRDefault="000C243B" w:rsidP="00137B5F">
      <w:pPr>
        <w:spacing w:after="0"/>
        <w:rPr>
          <w:rFonts w:ascii="Calibri" w:hAnsi="Calibri"/>
          <w:b/>
          <w:color w:val="1F497D"/>
          <w:sz w:val="32"/>
        </w:rPr>
      </w:pPr>
    </w:p>
    <w:p w:rsidR="002818D2" w:rsidRPr="00FD41D4" w:rsidRDefault="005A0F35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Presentamos</w:t>
      </w:r>
      <w:r w:rsidR="002818D2" w:rsidRPr="00FD41D4">
        <w:rPr>
          <w:rFonts w:ascii="Calibri" w:hAnsi="Calibri"/>
          <w:color w:val="002060"/>
          <w:sz w:val="24"/>
          <w:lang w:val="es-ES"/>
        </w:rPr>
        <w:t xml:space="preserve"> el proceso de difusión de Buenas Prácticas y Hermanamientos entre servicios de Agua y saneamiento rural, para el Programa PUFC.</w:t>
      </w:r>
    </w:p>
    <w:p w:rsidR="002818D2" w:rsidRPr="00FD41D4" w:rsidRDefault="002818D2" w:rsidP="002818D2">
      <w:pPr>
        <w:spacing w:after="0"/>
        <w:rPr>
          <w:rFonts w:ascii="Calibri" w:hAnsi="Calibri"/>
          <w:color w:val="002060"/>
          <w:sz w:val="24"/>
          <w:lang w:val="es-ES"/>
        </w:rPr>
      </w:pP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Estas ideas se plantearon durante el desarrollo del 3er Encuentro de Talleres de PUFC en Requegua, y tuvieron una respuesta muy entusiasta al aceptarse como metodología de</w:t>
      </w:r>
      <w:r w:rsidR="001D6E82" w:rsidRPr="00FD41D4">
        <w:rPr>
          <w:rFonts w:ascii="Calibri" w:hAnsi="Calibri"/>
          <w:color w:val="002060"/>
          <w:sz w:val="24"/>
          <w:lang w:val="es-ES"/>
        </w:rPr>
        <w:t xml:space="preserve"> compartir experiencias y apoyo</w:t>
      </w:r>
      <w:r w:rsidRPr="00FD41D4">
        <w:rPr>
          <w:rFonts w:ascii="Calibri" w:hAnsi="Calibri"/>
          <w:color w:val="002060"/>
          <w:sz w:val="24"/>
          <w:lang w:val="es-ES"/>
        </w:rPr>
        <w:t xml:space="preserve"> a los servicios que tengan debilidades en las áreas que han demandado.</w:t>
      </w: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</w:p>
    <w:p w:rsidR="002818D2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La entrega formal de las B</w:t>
      </w:r>
      <w:r w:rsidR="002818D2" w:rsidRPr="00FD41D4">
        <w:rPr>
          <w:rFonts w:ascii="Calibri" w:hAnsi="Calibri"/>
          <w:color w:val="002060"/>
          <w:sz w:val="24"/>
          <w:lang w:val="es-ES"/>
        </w:rPr>
        <w:t xml:space="preserve">uenas </w:t>
      </w:r>
      <w:r w:rsidR="005A0F35" w:rsidRPr="00FD41D4">
        <w:rPr>
          <w:rFonts w:ascii="Calibri" w:hAnsi="Calibri"/>
          <w:color w:val="002060"/>
          <w:sz w:val="24"/>
          <w:lang w:val="es-ES"/>
        </w:rPr>
        <w:t>Prácticas</w:t>
      </w:r>
      <w:r w:rsidR="00FE0740" w:rsidRPr="00FD41D4">
        <w:rPr>
          <w:rFonts w:ascii="Calibri" w:hAnsi="Calibri"/>
          <w:color w:val="002060"/>
          <w:sz w:val="24"/>
          <w:lang w:val="es-ES"/>
        </w:rPr>
        <w:t xml:space="preserve"> </w:t>
      </w:r>
      <w:r w:rsidRPr="00FD41D4">
        <w:rPr>
          <w:rFonts w:ascii="Calibri" w:hAnsi="Calibri"/>
          <w:color w:val="002060"/>
          <w:sz w:val="24"/>
          <w:lang w:val="es-ES"/>
        </w:rPr>
        <w:t xml:space="preserve">prometidas por cada APR </w:t>
      </w:r>
      <w:r w:rsidR="00FE0740" w:rsidRPr="00FD41D4">
        <w:rPr>
          <w:rFonts w:ascii="Calibri" w:hAnsi="Calibri"/>
          <w:color w:val="002060"/>
          <w:sz w:val="24"/>
          <w:lang w:val="es-ES"/>
        </w:rPr>
        <w:t xml:space="preserve">se llevara a cabo en el 4to Encuentro </w:t>
      </w:r>
      <w:r w:rsidRPr="00FD41D4">
        <w:rPr>
          <w:rFonts w:ascii="Calibri" w:hAnsi="Calibri"/>
          <w:color w:val="002060"/>
          <w:sz w:val="24"/>
          <w:lang w:val="es-ES"/>
        </w:rPr>
        <w:t>de Talleres.</w:t>
      </w: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 xml:space="preserve">Los Hermanamientos se iniciaran formalmente también en el 4to Encuentro, pero los participantes ya </w:t>
      </w:r>
      <w:r w:rsidR="005A0F35" w:rsidRPr="00FD41D4">
        <w:rPr>
          <w:rFonts w:ascii="Calibri" w:hAnsi="Calibri"/>
          <w:color w:val="002060"/>
          <w:sz w:val="24"/>
          <w:lang w:val="es-ES"/>
        </w:rPr>
        <w:t>llevarán</w:t>
      </w:r>
      <w:r w:rsidRPr="00FD41D4">
        <w:rPr>
          <w:rFonts w:ascii="Calibri" w:hAnsi="Calibri"/>
          <w:color w:val="002060"/>
          <w:sz w:val="24"/>
          <w:lang w:val="es-ES"/>
        </w:rPr>
        <w:t xml:space="preserve"> diseñado un Plan de Trabajo para el Hermanamiento en cuestión, cuyo formulario se puede ver más adelante.</w:t>
      </w:r>
    </w:p>
    <w:p w:rsidR="002818D2" w:rsidRPr="00FD41D4" w:rsidRDefault="002818D2" w:rsidP="00EC76B4">
      <w:pPr>
        <w:spacing w:after="0"/>
        <w:jc w:val="center"/>
        <w:rPr>
          <w:rFonts w:asciiTheme="minorHAnsi" w:hAnsiTheme="minorHAnsi"/>
          <w:b/>
          <w:color w:val="002060"/>
          <w:sz w:val="24"/>
          <w:lang w:val="es-ES"/>
        </w:rPr>
      </w:pPr>
    </w:p>
    <w:p w:rsidR="002818D2" w:rsidRPr="00FD41D4" w:rsidRDefault="0034162D" w:rsidP="007E0822">
      <w:pPr>
        <w:rPr>
          <w:rFonts w:asciiTheme="minorHAnsi" w:hAnsiTheme="minorHAnsi"/>
          <w:color w:val="002060"/>
          <w:sz w:val="24"/>
          <w:lang w:val="es-ES"/>
        </w:rPr>
      </w:pPr>
      <w:r w:rsidRPr="00FD41D4">
        <w:rPr>
          <w:rFonts w:asciiTheme="minorHAnsi" w:hAnsiTheme="minorHAnsi"/>
          <w:color w:val="002060"/>
          <w:sz w:val="24"/>
          <w:lang w:val="es-ES"/>
        </w:rPr>
        <w:t xml:space="preserve">A </w:t>
      </w:r>
      <w:r w:rsidR="005A0F35" w:rsidRPr="00FD41D4">
        <w:rPr>
          <w:rFonts w:asciiTheme="minorHAnsi" w:hAnsiTheme="minorHAnsi"/>
          <w:color w:val="002060"/>
          <w:sz w:val="24"/>
          <w:lang w:val="es-ES"/>
        </w:rPr>
        <w:t>continuación un detalle de las Buenas Pr</w:t>
      </w:r>
      <w:r w:rsidRPr="00FD41D4">
        <w:rPr>
          <w:rFonts w:asciiTheme="minorHAnsi" w:hAnsiTheme="minorHAnsi"/>
          <w:color w:val="002060"/>
          <w:sz w:val="24"/>
          <w:lang w:val="es-ES"/>
        </w:rPr>
        <w:t xml:space="preserve">acticas a compartir y de los </w:t>
      </w:r>
      <w:r w:rsidR="005A0F35" w:rsidRPr="00FD41D4">
        <w:rPr>
          <w:rFonts w:asciiTheme="minorHAnsi" w:hAnsiTheme="minorHAnsi"/>
          <w:color w:val="002060"/>
          <w:sz w:val="24"/>
          <w:lang w:val="es-ES"/>
        </w:rPr>
        <w:t>Hermanamientos</w:t>
      </w:r>
      <w:r w:rsidRPr="00FD41D4">
        <w:rPr>
          <w:rFonts w:asciiTheme="minorHAnsi" w:hAnsiTheme="minorHAnsi"/>
          <w:color w:val="002060"/>
          <w:sz w:val="24"/>
          <w:lang w:val="es-ES"/>
        </w:rPr>
        <w:t xml:space="preserve"> comprometidos</w:t>
      </w:r>
      <w:r w:rsidR="006D1FFA" w:rsidRPr="00FD41D4">
        <w:rPr>
          <w:rFonts w:asciiTheme="minorHAnsi" w:hAnsiTheme="minorHAnsi"/>
          <w:color w:val="002060"/>
          <w:sz w:val="24"/>
          <w:lang w:val="es-ES"/>
        </w:rPr>
        <w:t>.</w:t>
      </w:r>
    </w:p>
    <w:p w:rsidR="0034162D" w:rsidRPr="00FD41D4" w:rsidRDefault="0034162D" w:rsidP="007E0822">
      <w:pPr>
        <w:rPr>
          <w:rFonts w:ascii="Calibri" w:hAnsi="Calibri"/>
          <w:b/>
          <w:color w:val="0070C0"/>
          <w:sz w:val="24"/>
          <w:lang w:val="es-ES"/>
        </w:rPr>
      </w:pPr>
    </w:p>
    <w:p w:rsidR="00B820E1" w:rsidRPr="00FD41D4" w:rsidRDefault="002818D2" w:rsidP="007E0822">
      <w:pPr>
        <w:rPr>
          <w:rFonts w:ascii="Calibri" w:hAnsi="Calibri"/>
          <w:b/>
          <w:color w:val="0070C0"/>
          <w:sz w:val="24"/>
          <w:lang w:val="es-ES"/>
        </w:rPr>
      </w:pPr>
      <w:r w:rsidRPr="00FD41D4">
        <w:rPr>
          <w:rFonts w:ascii="Calibri" w:hAnsi="Calibri"/>
          <w:b/>
          <w:color w:val="0070C0"/>
          <w:sz w:val="24"/>
          <w:lang w:val="es-ES"/>
        </w:rPr>
        <w:t>1.- BUENAS PRÁCTICAS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B820E1" w:rsidRPr="00FD41D4" w:rsidTr="001D6E82">
        <w:tc>
          <w:tcPr>
            <w:tcW w:w="4748" w:type="dxa"/>
            <w:shd w:val="clear" w:color="auto" w:fill="8DB3E2" w:themeFill="text2" w:themeFillTint="66"/>
          </w:tcPr>
          <w:p w:rsidR="00B820E1" w:rsidRPr="00FD41D4" w:rsidRDefault="00B820E1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Organización</w:t>
            </w:r>
          </w:p>
        </w:tc>
        <w:tc>
          <w:tcPr>
            <w:tcW w:w="4748" w:type="dxa"/>
            <w:shd w:val="clear" w:color="auto" w:fill="8DB3E2" w:themeFill="text2" w:themeFillTint="66"/>
          </w:tcPr>
          <w:p w:rsidR="00B820E1" w:rsidRPr="00FD41D4" w:rsidRDefault="00B820E1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Conocimiento a compartir</w:t>
            </w:r>
          </w:p>
        </w:tc>
      </w:tr>
      <w:tr w:rsidR="00B820E1" w:rsidRPr="00FD41D4" w:rsidTr="00B820E1">
        <w:tc>
          <w:tcPr>
            <w:tcW w:w="4748" w:type="dxa"/>
          </w:tcPr>
          <w:p w:rsidR="00B820E1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Rastrojo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s</w:t>
            </w:r>
          </w:p>
        </w:tc>
        <w:tc>
          <w:tcPr>
            <w:tcW w:w="4748" w:type="dxa"/>
          </w:tcPr>
          <w:p w:rsidR="00B820E1" w:rsidRPr="00FD41D4" w:rsidRDefault="00B820E1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Manuales de procedimientos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administrativos y operacionales</w:t>
            </w:r>
          </w:p>
        </w:tc>
      </w:tr>
      <w:tr w:rsidR="00B820E1" w:rsidRPr="00FD41D4" w:rsidTr="00B820E1">
        <w:tc>
          <w:tcPr>
            <w:tcW w:w="4748" w:type="dxa"/>
          </w:tcPr>
          <w:p w:rsidR="00B820E1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Juan Núñez Valenzuela</w:t>
            </w:r>
          </w:p>
        </w:tc>
        <w:tc>
          <w:tcPr>
            <w:tcW w:w="4748" w:type="dxa"/>
          </w:tcPr>
          <w:p w:rsidR="00B820E1" w:rsidRPr="00FD41D4" w:rsidRDefault="00B820E1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Procedimiento de Toma de Lectura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s de medidores de agua potable (</w:t>
            </w:r>
            <w:proofErr w:type="spellStart"/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MAPs</w:t>
            </w:r>
            <w:proofErr w:type="spellEnd"/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B820E1" w:rsidRPr="00FD41D4" w:rsidTr="00B820E1">
        <w:tc>
          <w:tcPr>
            <w:tcW w:w="4748" w:type="dxa"/>
          </w:tcPr>
          <w:p w:rsidR="00B820E1" w:rsidRPr="00FD41D4" w:rsidRDefault="00D04B85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4748" w:type="dxa"/>
          </w:tcPr>
          <w:p w:rsidR="00B820E1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Instructivo de Cloración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del agua para distribución</w:t>
            </w:r>
          </w:p>
        </w:tc>
      </w:tr>
      <w:tr w:rsidR="00B820E1" w:rsidRPr="00FD41D4" w:rsidTr="00B820E1">
        <w:tc>
          <w:tcPr>
            <w:tcW w:w="4748" w:type="dxa"/>
          </w:tcPr>
          <w:p w:rsidR="00B820E1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Requegua</w:t>
            </w:r>
          </w:p>
        </w:tc>
        <w:tc>
          <w:tcPr>
            <w:tcW w:w="4748" w:type="dxa"/>
          </w:tcPr>
          <w:p w:rsidR="00B820E1" w:rsidRPr="00FD41D4" w:rsidRDefault="005A0F35" w:rsidP="005A0F3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Sistema electoral en Juntas Generales de Socios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04B8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- Champa</w:t>
            </w:r>
          </w:p>
        </w:tc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Estatutos (procedimiento de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asignación 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de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>viáticos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FESAN</w:t>
            </w:r>
          </w:p>
        </w:tc>
        <w:tc>
          <w:tcPr>
            <w:tcW w:w="4748" w:type="dxa"/>
          </w:tcPr>
          <w:p w:rsidR="00297030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Manual 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Plantas de tratamiento (P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lantas L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odos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activa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do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s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, Lagunas y Lombrifiltros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04B8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– Champa</w:t>
            </w:r>
          </w:p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 Compañía</w:t>
            </w:r>
          </w:p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El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Patagua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</w:t>
            </w:r>
          </w:p>
        </w:tc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Temas relativos a educación sobre uso del agua y programas con escuelas. </w:t>
            </w:r>
          </w:p>
          <w:p w:rsidR="00297030" w:rsidRPr="00FD41D4" w:rsidRDefault="005A0F35" w:rsidP="005A0F3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El Patagual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hace entrega de un video educativo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.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D04B85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lastRenderedPageBreak/>
              <w:t xml:space="preserve">Comité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Compart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irá experiencias relativas a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mejoramientos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de capacidad </w:t>
            </w:r>
            <w:r w:rsidR="008F1426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operacional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>de servicios AP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3D513F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- Champa</w:t>
            </w:r>
          </w:p>
        </w:tc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Reglamento Interno</w:t>
            </w:r>
          </w:p>
        </w:tc>
      </w:tr>
      <w:tr w:rsidR="00297030" w:rsidRPr="00FD41D4" w:rsidTr="00B820E1">
        <w:tc>
          <w:tcPr>
            <w:tcW w:w="4748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Corcolén </w:t>
            </w:r>
          </w:p>
        </w:tc>
        <w:tc>
          <w:tcPr>
            <w:tcW w:w="4748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Listado Proveedores</w:t>
            </w:r>
          </w:p>
        </w:tc>
      </w:tr>
    </w:tbl>
    <w:p w:rsidR="00B820E1" w:rsidRPr="00FD41D4" w:rsidRDefault="00B820E1" w:rsidP="007E0822">
      <w:pPr>
        <w:rPr>
          <w:rFonts w:ascii="Calibri" w:hAnsi="Calibri"/>
          <w:sz w:val="24"/>
          <w:lang w:val="es-ES"/>
        </w:rPr>
      </w:pPr>
    </w:p>
    <w:p w:rsidR="002818D2" w:rsidRPr="00FD41D4" w:rsidRDefault="002818D2" w:rsidP="007E0822">
      <w:pPr>
        <w:rPr>
          <w:rFonts w:ascii="Calibri" w:hAnsi="Calibri"/>
          <w:sz w:val="24"/>
          <w:lang w:val="es-ES"/>
        </w:rPr>
      </w:pPr>
    </w:p>
    <w:p w:rsidR="00B820E1" w:rsidRPr="00FD41D4" w:rsidRDefault="002818D2" w:rsidP="007E0822">
      <w:pPr>
        <w:rPr>
          <w:rFonts w:ascii="Calibri" w:hAnsi="Calibri"/>
          <w:b/>
          <w:color w:val="0070C0"/>
          <w:sz w:val="24"/>
          <w:lang w:val="es-ES"/>
        </w:rPr>
      </w:pPr>
      <w:r w:rsidRPr="00FD41D4">
        <w:rPr>
          <w:rFonts w:ascii="Calibri" w:hAnsi="Calibri"/>
          <w:b/>
          <w:color w:val="0070C0"/>
          <w:sz w:val="24"/>
          <w:lang w:val="es-ES"/>
        </w:rPr>
        <w:t>2.- HERMANAMIENTOS</w:t>
      </w:r>
      <w:r w:rsidR="005F7828" w:rsidRPr="00FD41D4">
        <w:rPr>
          <w:rFonts w:ascii="Calibri" w:hAnsi="Calibri"/>
          <w:b/>
          <w:color w:val="0070C0"/>
          <w:sz w:val="24"/>
          <w:lang w:val="es-ES"/>
        </w:rPr>
        <w:t xml:space="preserve"> </w:t>
      </w:r>
      <w:r w:rsidR="00B820E1" w:rsidRPr="00FD41D4">
        <w:rPr>
          <w:rFonts w:ascii="Calibri" w:hAnsi="Calibri"/>
          <w:b/>
          <w:color w:val="0070C0"/>
          <w:sz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94"/>
        <w:gridCol w:w="4636"/>
      </w:tblGrid>
      <w:tr w:rsidR="00DD64F8" w:rsidRPr="00FD41D4" w:rsidTr="001D6E82">
        <w:tc>
          <w:tcPr>
            <w:tcW w:w="534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</w:p>
        </w:tc>
        <w:tc>
          <w:tcPr>
            <w:tcW w:w="4294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Hermanamiento</w:t>
            </w:r>
          </w:p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Entrega - Recibe</w:t>
            </w:r>
          </w:p>
        </w:tc>
        <w:tc>
          <w:tcPr>
            <w:tcW w:w="4636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Tema</w:t>
            </w:r>
          </w:p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General - Especifico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</w:t>
            </w:r>
          </w:p>
        </w:tc>
        <w:tc>
          <w:tcPr>
            <w:tcW w:w="4294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El Granizo –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Lo Gamboa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Administración - Asesoría Jurídica y Gestión Administrativa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2</w:t>
            </w:r>
          </w:p>
        </w:tc>
        <w:tc>
          <w:tcPr>
            <w:tcW w:w="4294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Requegua –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Juan Núñez Valenzuela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Descripción de roles y Reglamento Interno.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3</w:t>
            </w:r>
          </w:p>
        </w:tc>
        <w:tc>
          <w:tcPr>
            <w:tcW w:w="4294" w:type="dxa"/>
          </w:tcPr>
          <w:p w:rsidR="00DD64F8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Hospital Champa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–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APR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Rangue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y Operacional – Desarrollo Organizacional y Operación del sistema agua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4</w:t>
            </w:r>
          </w:p>
        </w:tc>
        <w:tc>
          <w:tcPr>
            <w:tcW w:w="4294" w:type="dxa"/>
          </w:tcPr>
          <w:p w:rsidR="00DD64F8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Comité APR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La Alianza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APR San Joaquín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Pública y Regularización de Terrenos.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5</w:t>
            </w:r>
          </w:p>
        </w:tc>
        <w:tc>
          <w:tcPr>
            <w:tcW w:w="4294" w:type="dxa"/>
          </w:tcPr>
          <w:p w:rsidR="00DD64F8" w:rsidRPr="00FD41D4" w:rsidRDefault="007E7DAA" w:rsidP="00CA44AC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La Compañía-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>Coop Guacarhue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– Coop Requegua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7"/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8"/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Legal sobre transferencia de socios.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6</w:t>
            </w:r>
          </w:p>
        </w:tc>
        <w:tc>
          <w:tcPr>
            <w:tcW w:w="4294" w:type="dxa"/>
          </w:tcPr>
          <w:p w:rsidR="00DD64F8" w:rsidRPr="00FD41D4" w:rsidRDefault="00DD64F8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Cooperativa Tinguiririca – Comité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Administrativa/Comercial -  Toma de estados de lectura y procesos.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7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Patagual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–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Rastrojos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Género y Equidad.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8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Guacarhue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Abra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b/>
                <w:i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i/>
                <w:color w:val="002060"/>
                <w:sz w:val="24"/>
                <w:lang w:val="es-ES"/>
              </w:rPr>
              <w:t>Pendiente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9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APR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El Caleuche –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Patagual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Operacional - Asesoría Tratamiento de aguas servidas. 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10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Guacarhue –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Huilquio 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Comunitaria - Estatutos, Registro Socios, 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11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Corcolén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Requegua  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7"/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8"/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Administrativa - Proveedores (Corcolén), </w:t>
            </w:r>
            <w:r w:rsidR="002818D2" w:rsidRPr="00FD41D4">
              <w:rPr>
                <w:rFonts w:ascii="Calibri" w:hAnsi="Calibri"/>
                <w:color w:val="002060"/>
                <w:sz w:val="24"/>
                <w:lang w:val="es-ES"/>
              </w:rPr>
              <w:t>Gestión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Administrativa (Requegua)</w:t>
            </w:r>
          </w:p>
        </w:tc>
      </w:tr>
    </w:tbl>
    <w:p w:rsidR="00B820E1" w:rsidRPr="00FD41D4" w:rsidRDefault="00B820E1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b/>
          <w:color w:val="002060"/>
          <w:sz w:val="24"/>
          <w:lang w:val="es-ES"/>
        </w:rPr>
      </w:pPr>
      <w:r w:rsidRPr="00FD41D4">
        <w:rPr>
          <w:rFonts w:ascii="Calibri" w:hAnsi="Calibri"/>
          <w:b/>
          <w:color w:val="002060"/>
          <w:sz w:val="24"/>
          <w:lang w:val="es-ES"/>
        </w:rPr>
        <w:lastRenderedPageBreak/>
        <w:t>PROTOCOLO HERMANAMIENTOS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8F1426" w:rsidRPr="00FD41D4" w:rsidRDefault="001D6E82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A completar por los involucrados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545"/>
      </w:tblGrid>
      <w:tr w:rsidR="00FD41D4" w:rsidRPr="00FD41D4" w:rsidTr="00FD41D4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CONTEXTO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D91" w:rsidRPr="00FD41D4" w:rsidRDefault="00FD41D4" w:rsidP="00FD41D4">
            <w:pPr>
              <w:spacing w:line="315" w:lineRule="atLeast"/>
              <w:jc w:val="lef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>Este Protocolo de Hermanamiento se ejecuta en el contexto del desarrollo del Programa Único de Fortalecimiento de Capacidades, PUFC, elaborado por AVINA, en Chile.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ACUERDO FIRMADO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Sí 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sym w:font="Wingdings" w:char="F0A8"/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      No 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sym w:font="Wingdings" w:char="F0A8"/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SOCIOS Y CARACTERISTICAS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Numero de Servicios invol</w:t>
            </w:r>
            <w:r w:rsidR="001D6E82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u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crados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1E7A0D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2 o 3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Servicio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1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Mentor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hyperlink r:id="rId9" w:history="1">
              <w:r w:rsidRPr="00FD41D4">
                <w:rPr>
                  <w:rStyle w:val="Hyperlink"/>
                  <w:rFonts w:asciiTheme="minorHAnsi" w:hAnsiTheme="minorHAnsi"/>
                  <w:color w:val="002060"/>
                  <w:sz w:val="24"/>
                  <w:u w:val="none"/>
                  <w:bdr w:val="none" w:sz="0" w:space="0" w:color="auto" w:frame="1"/>
                  <w:lang w:val="es-ES"/>
                </w:rPr>
                <w:t>Cooperativa</w:t>
              </w:r>
            </w:hyperlink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</w:t>
            </w:r>
            <w:proofErr w:type="spellStart"/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>xxxxxxxxx</w:t>
            </w:r>
            <w:proofErr w:type="spellEnd"/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Servicio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2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Beneficiario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hyperlink r:id="rId10" w:history="1">
              <w:r w:rsidRPr="00FD41D4">
                <w:rPr>
                  <w:rStyle w:val="Hyperlink"/>
                  <w:rFonts w:asciiTheme="minorHAnsi" w:hAnsiTheme="minorHAnsi"/>
                  <w:color w:val="002060"/>
                  <w:sz w:val="24"/>
                  <w:u w:val="none"/>
                  <w:bdr w:val="none" w:sz="0" w:space="0" w:color="auto" w:frame="1"/>
                  <w:lang w:val="es-ES"/>
                </w:rPr>
                <w:t>Comité</w:t>
              </w:r>
            </w:hyperlink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de APR </w:t>
            </w:r>
            <w:proofErr w:type="spellStart"/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>xxxxxxxxxxxxx</w:t>
            </w:r>
            <w:proofErr w:type="spellEnd"/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D4" w:rsidRPr="00FD41D4" w:rsidRDefault="00FD41D4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Servicio 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D4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¿?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9BE" w:rsidRPr="00FD41D4" w:rsidRDefault="00FD41D4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Duración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9BE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4</w:t>
            </w:r>
            <w:r w:rsidR="002339BE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meses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B06E2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TEMAS Y OBJETIVOS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B06E25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 General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1E7A0D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Ver cuadro anterior</w:t>
            </w: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 especifico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1E7A0D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>Ver cuadro anterior</w:t>
            </w:r>
          </w:p>
        </w:tc>
      </w:tr>
      <w:tr w:rsidR="00FD41D4" w:rsidRPr="00FD41D4" w:rsidTr="00054D91">
        <w:trPr>
          <w:trHeight w:val="606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100" w:rsidRPr="00FD41D4" w:rsidRDefault="004E6100" w:rsidP="00054D91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Objetivos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El Objetivo del presente </w:t>
            </w:r>
            <w:r w:rsidR="00FD41D4">
              <w:rPr>
                <w:rFonts w:asciiTheme="minorHAnsi" w:hAnsiTheme="minorHAnsi"/>
                <w:color w:val="002060"/>
                <w:sz w:val="24"/>
                <w:lang w:val="es-ES"/>
              </w:rPr>
              <w:t>Hermanamiento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es contribuir en la mejora de la gestión</w:t>
            </w:r>
            <w:r w:rsidR="00054D91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…………………………….</w:t>
            </w: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RESULTADOS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Al final del proceso</w:t>
            </w:r>
          </w:p>
        </w:tc>
      </w:tr>
      <w:tr w:rsidR="00FD41D4" w:rsidRPr="00FD41D4" w:rsidTr="00054D91">
        <w:trPr>
          <w:trHeight w:val="503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100" w:rsidRPr="00FD41D4" w:rsidRDefault="004E6100" w:rsidP="00054D91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ACTIVIDADES DEL HERMANAMIENTO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rPr>
          <w:trHeight w:val="1055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4E6100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¿Qué tipo de actividades se llevaran a cabo para ayudar a desarrollar la capacidad del beneficiario?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Describir las actividades principales. 3 líneas</w:t>
            </w:r>
          </w:p>
          <w:p w:rsidR="001E7A0D" w:rsidRPr="00FD41D4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Visitas, intercambio de procedimientos, </w:t>
            </w:r>
            <w:proofErr w:type="spellStart"/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>etc</w:t>
            </w:r>
            <w:proofErr w:type="spellEnd"/>
          </w:p>
        </w:tc>
      </w:tr>
      <w:tr w:rsidR="00FD41D4" w:rsidRPr="00FD41D4" w:rsidTr="00054D91">
        <w:trPr>
          <w:trHeight w:val="786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4E6100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lastRenderedPageBreak/>
              <w:t>Descripción de las actividades de hermanamiento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Descripción de las actividades en detalle. 10 líneas</w:t>
            </w:r>
          </w:p>
        </w:tc>
      </w:tr>
    </w:tbl>
    <w:p w:rsidR="008F1426" w:rsidRPr="00FD41D4" w:rsidRDefault="008F1426" w:rsidP="007E0822">
      <w:pPr>
        <w:rPr>
          <w:rFonts w:ascii="Calibri" w:hAnsi="Calibri"/>
          <w:color w:val="002060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1E7A0D" w:rsidRDefault="001E7A0D" w:rsidP="007E0822">
      <w:pPr>
        <w:rPr>
          <w:rFonts w:ascii="Calibri" w:hAnsi="Calibri"/>
          <w:b/>
          <w:color w:val="002060"/>
          <w:sz w:val="28"/>
          <w:szCs w:val="28"/>
          <w:lang w:val="es-ES"/>
        </w:rPr>
      </w:pPr>
      <w:r w:rsidRPr="001E7A0D">
        <w:rPr>
          <w:rFonts w:ascii="Calibri" w:hAnsi="Calibri"/>
          <w:b/>
          <w:color w:val="002060"/>
          <w:sz w:val="28"/>
          <w:szCs w:val="28"/>
          <w:lang w:val="es-ES"/>
        </w:rPr>
        <w:t>CARTA COMPROMISO EN HOJA SIGUIENTE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  <w:r>
        <w:rPr>
          <w:rFonts w:ascii="Calibri" w:hAnsi="Calibri"/>
          <w:color w:val="002060"/>
          <w:sz w:val="24"/>
          <w:lang w:val="es-ES"/>
        </w:rPr>
        <w:t xml:space="preserve">                                        </w:t>
      </w:r>
      <w:r>
        <w:rPr>
          <w:rFonts w:ascii="Calibri" w:hAnsi="Calibri"/>
          <w:color w:val="002060"/>
          <w:sz w:val="24"/>
          <w:lang w:val="es-ES"/>
        </w:rPr>
        <w:sym w:font="Wingdings" w:char="F0EA"/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1E7A0D">
      <w:pPr>
        <w:jc w:val="center"/>
        <w:rPr>
          <w:rFonts w:ascii="Calibri" w:hAnsi="Calibri"/>
          <w:b/>
          <w:color w:val="002060"/>
          <w:sz w:val="24"/>
          <w:lang w:val="es-ES"/>
        </w:rPr>
      </w:pPr>
    </w:p>
    <w:p w:rsidR="001E7A0D" w:rsidRPr="001E7A0D" w:rsidRDefault="001E7A0D" w:rsidP="001E7A0D">
      <w:pPr>
        <w:jc w:val="center"/>
        <w:rPr>
          <w:rFonts w:ascii="Calibri" w:hAnsi="Calibri"/>
          <w:b/>
          <w:color w:val="002060"/>
          <w:sz w:val="28"/>
          <w:szCs w:val="28"/>
          <w:lang w:val="es-ES"/>
        </w:rPr>
      </w:pPr>
      <w:r w:rsidRPr="001E7A0D">
        <w:rPr>
          <w:rFonts w:ascii="Calibri" w:hAnsi="Calibri"/>
          <w:b/>
          <w:color w:val="002060"/>
          <w:sz w:val="28"/>
          <w:szCs w:val="28"/>
          <w:lang w:val="es-ES"/>
        </w:rPr>
        <w:t>Carta Compromiso Hermanamiento PUFC, Chile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 xml:space="preserve">Por la </w:t>
      </w:r>
      <w:r w:rsidR="00003635" w:rsidRPr="00FD41D4">
        <w:rPr>
          <w:rFonts w:ascii="Calibri" w:hAnsi="Calibri"/>
          <w:color w:val="002060"/>
          <w:sz w:val="24"/>
          <w:lang w:val="es-ES"/>
        </w:rPr>
        <w:t>presente</w:t>
      </w:r>
      <w:r w:rsidRPr="00FD41D4">
        <w:rPr>
          <w:rFonts w:ascii="Calibri" w:hAnsi="Calibri"/>
          <w:color w:val="002060"/>
          <w:sz w:val="24"/>
          <w:lang w:val="es-ES"/>
        </w:rPr>
        <w:t>, Coop</w:t>
      </w:r>
      <w:r w:rsidR="001E7A0D">
        <w:rPr>
          <w:rFonts w:ascii="Calibri" w:hAnsi="Calibri"/>
          <w:color w:val="002060"/>
          <w:sz w:val="24"/>
          <w:lang w:val="es-ES"/>
        </w:rPr>
        <w:t>……..</w:t>
      </w:r>
      <w:r w:rsidRPr="00FD41D4">
        <w:rPr>
          <w:rFonts w:ascii="Calibri" w:hAnsi="Calibri"/>
          <w:color w:val="002060"/>
          <w:sz w:val="24"/>
          <w:lang w:val="es-ES"/>
        </w:rPr>
        <w:t xml:space="preserve"> </w:t>
      </w:r>
      <w:proofErr w:type="gramStart"/>
      <w:r w:rsidRPr="00FD41D4">
        <w:rPr>
          <w:rFonts w:ascii="Calibri" w:hAnsi="Calibri"/>
          <w:color w:val="002060"/>
          <w:sz w:val="24"/>
          <w:lang w:val="es-ES"/>
        </w:rPr>
        <w:t>y</w:t>
      </w:r>
      <w:proofErr w:type="gramEnd"/>
      <w:r w:rsidRPr="00FD41D4">
        <w:rPr>
          <w:rFonts w:ascii="Calibri" w:hAnsi="Calibri"/>
          <w:color w:val="002060"/>
          <w:sz w:val="24"/>
          <w:lang w:val="es-ES"/>
        </w:rPr>
        <w:t xml:space="preserve"> Comité </w:t>
      </w:r>
      <w:r w:rsidR="001E7A0D">
        <w:rPr>
          <w:rFonts w:ascii="Calibri" w:hAnsi="Calibri"/>
          <w:color w:val="002060"/>
          <w:sz w:val="24"/>
          <w:lang w:val="es-ES"/>
        </w:rPr>
        <w:t>de APR……….</w:t>
      </w:r>
      <w:r w:rsidRPr="00FD41D4">
        <w:rPr>
          <w:rFonts w:ascii="Calibri" w:hAnsi="Calibri"/>
          <w:color w:val="002060"/>
          <w:sz w:val="24"/>
          <w:lang w:val="es-ES"/>
        </w:rPr>
        <w:t xml:space="preserve">, nos comprometemos a efectuar un hermanamiento entre nuestros servicios con el fin de lograr mejoras en nuestra gestión y compartir las experiencias </w:t>
      </w:r>
      <w:r w:rsidR="00003635" w:rsidRPr="00FD41D4">
        <w:rPr>
          <w:rFonts w:ascii="Calibri" w:hAnsi="Calibri"/>
          <w:color w:val="002060"/>
          <w:sz w:val="24"/>
          <w:lang w:val="es-ES"/>
        </w:rPr>
        <w:t>entre nosotros, para luego ponerlas a disposición de los participantes en el Programa PUFC de Chile.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1E7A0D" w:rsidRDefault="00B414A3" w:rsidP="001E7A0D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El tema específico es: …………………………</w:t>
      </w:r>
      <w:r w:rsidR="001E7A0D" w:rsidRPr="001E7A0D">
        <w:rPr>
          <w:rFonts w:ascii="Calibri" w:hAnsi="Calibri"/>
          <w:sz w:val="24"/>
          <w:lang w:val="es-ES"/>
        </w:rPr>
        <w:t xml:space="preserve"> </w:t>
      </w:r>
      <w:r w:rsidR="001E7A0D">
        <w:rPr>
          <w:rFonts w:ascii="Calibri" w:hAnsi="Calibri"/>
          <w:color w:val="002060"/>
          <w:sz w:val="24"/>
          <w:lang w:val="es-ES"/>
        </w:rPr>
        <w:t>, comprometiéndonos</w:t>
      </w:r>
      <w:r w:rsidR="001E7A0D" w:rsidRPr="001E7A0D">
        <w:rPr>
          <w:rFonts w:ascii="Calibri" w:hAnsi="Calibri"/>
          <w:color w:val="002060"/>
          <w:sz w:val="24"/>
          <w:lang w:val="es-ES"/>
        </w:rPr>
        <w:t xml:space="preserve"> también con el programa PUFC para concluir satisfactoriamente</w:t>
      </w:r>
      <w:r w:rsidR="001E7A0D">
        <w:rPr>
          <w:rFonts w:ascii="Calibri" w:hAnsi="Calibri"/>
          <w:color w:val="002060"/>
          <w:sz w:val="24"/>
          <w:lang w:val="es-ES"/>
        </w:rPr>
        <w:t xml:space="preserve"> este proceso, en un tiempo estimado de 4 meses.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  <w:r>
        <w:rPr>
          <w:rFonts w:ascii="Calibri" w:hAnsi="Calibri"/>
          <w:color w:val="002060"/>
          <w:sz w:val="24"/>
          <w:lang w:val="es-ES"/>
        </w:rPr>
        <w:t>Lugar, xx de abril de 2015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003635" w:rsidRPr="00FD41D4" w:rsidRDefault="00003635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Firman</w:t>
      </w:r>
    </w:p>
    <w:p w:rsidR="00003635" w:rsidRDefault="00003635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003635" w:rsidRPr="00FD41D4" w:rsidRDefault="00003635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………………………….                                                              ……………………………..</w:t>
      </w:r>
    </w:p>
    <w:p w:rsidR="00B414A3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  <w:proofErr w:type="gramStart"/>
      <w:r>
        <w:rPr>
          <w:rFonts w:ascii="Calibri" w:hAnsi="Calibri"/>
          <w:color w:val="002060"/>
          <w:sz w:val="24"/>
          <w:lang w:val="es-ES"/>
        </w:rPr>
        <w:t>Coop …</w:t>
      </w:r>
      <w:proofErr w:type="gramEnd"/>
      <w:r>
        <w:rPr>
          <w:rFonts w:ascii="Calibri" w:hAnsi="Calibri"/>
          <w:color w:val="002060"/>
          <w:sz w:val="24"/>
          <w:lang w:val="es-ES"/>
        </w:rPr>
        <w:t xml:space="preserve">……..                                                                        Comité </w:t>
      </w:r>
      <w:proofErr w:type="gramStart"/>
      <w:r>
        <w:rPr>
          <w:rFonts w:ascii="Calibri" w:hAnsi="Calibri"/>
          <w:color w:val="002060"/>
          <w:sz w:val="24"/>
          <w:lang w:val="es-ES"/>
        </w:rPr>
        <w:t>APR …</w:t>
      </w:r>
      <w:proofErr w:type="gramEnd"/>
      <w:r>
        <w:rPr>
          <w:rFonts w:ascii="Calibri" w:hAnsi="Calibri"/>
          <w:color w:val="002060"/>
          <w:sz w:val="24"/>
          <w:lang w:val="es-ES"/>
        </w:rPr>
        <w:t>………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  <w:bookmarkStart w:id="0" w:name="_GoBack"/>
      <w:bookmarkEnd w:id="0"/>
    </w:p>
    <w:sectPr w:rsidR="00B414A3" w:rsidRPr="00FD41D4" w:rsidSect="00FD41D4">
      <w:headerReference w:type="default" r:id="rId11"/>
      <w:footerReference w:type="even" r:id="rId12"/>
      <w:footerReference w:type="default" r:id="rId13"/>
      <w:pgSz w:w="11900" w:h="16840"/>
      <w:pgMar w:top="2977" w:right="1268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DF" w:rsidRDefault="001A5EDF">
      <w:pPr>
        <w:spacing w:after="0"/>
      </w:pPr>
      <w:r>
        <w:separator/>
      </w:r>
    </w:p>
  </w:endnote>
  <w:endnote w:type="continuationSeparator" w:id="0">
    <w:p w:rsidR="001A5EDF" w:rsidRDefault="001A5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Default="00F165AB" w:rsidP="007E0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3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30F" w:rsidRDefault="002D530F" w:rsidP="007E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Pr="00FC425A" w:rsidRDefault="00F165AB" w:rsidP="007E0822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C425A">
      <w:rPr>
        <w:rStyle w:val="PageNumber"/>
        <w:rFonts w:ascii="Calibri" w:hAnsi="Calibri"/>
      </w:rPr>
      <w:fldChar w:fldCharType="begin"/>
    </w:r>
    <w:r w:rsidR="002D530F" w:rsidRPr="00FC425A">
      <w:rPr>
        <w:rStyle w:val="PageNumber"/>
        <w:rFonts w:ascii="Calibri" w:hAnsi="Calibri"/>
      </w:rPr>
      <w:instrText xml:space="preserve">PAGE  </w:instrText>
    </w:r>
    <w:r w:rsidRPr="00FC425A">
      <w:rPr>
        <w:rStyle w:val="PageNumber"/>
        <w:rFonts w:ascii="Calibri" w:hAnsi="Calibri"/>
      </w:rPr>
      <w:fldChar w:fldCharType="separate"/>
    </w:r>
    <w:r w:rsidR="001E7A0D">
      <w:rPr>
        <w:rStyle w:val="PageNumber"/>
        <w:rFonts w:ascii="Calibri" w:hAnsi="Calibri"/>
        <w:noProof/>
      </w:rPr>
      <w:t>5</w:t>
    </w:r>
    <w:r w:rsidRPr="00FC425A">
      <w:rPr>
        <w:rStyle w:val="PageNumber"/>
        <w:rFonts w:ascii="Calibri" w:hAnsi="Calibri"/>
      </w:rPr>
      <w:fldChar w:fldCharType="end"/>
    </w:r>
  </w:p>
  <w:p w:rsidR="002D530F" w:rsidRPr="006D7286" w:rsidRDefault="002D530F" w:rsidP="000609C7">
    <w:pPr>
      <w:pStyle w:val="Footer"/>
      <w:spacing w:line="360" w:lineRule="auto"/>
      <w:rPr>
        <w:color w:val="404040"/>
        <w:sz w:val="14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DF" w:rsidRDefault="001A5EDF">
      <w:pPr>
        <w:spacing w:after="0"/>
      </w:pPr>
      <w:r>
        <w:separator/>
      </w:r>
    </w:p>
  </w:footnote>
  <w:footnote w:type="continuationSeparator" w:id="0">
    <w:p w:rsidR="001A5EDF" w:rsidRDefault="001A5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Default="001D6E82" w:rsidP="00EC76B4">
    <w:pPr>
      <w:pStyle w:val="Footer"/>
      <w:spacing w:line="360" w:lineRule="auto"/>
      <w:rPr>
        <w:rFonts w:ascii="Calibri" w:hAnsi="Calibri"/>
        <w:b/>
        <w:color w:val="404040"/>
        <w:szCs w:val="20"/>
        <w:lang w:val="es-AR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7678A6" wp14:editId="0AFF7CEE">
          <wp:simplePos x="0" y="0"/>
          <wp:positionH relativeFrom="column">
            <wp:posOffset>4420870</wp:posOffset>
          </wp:positionH>
          <wp:positionV relativeFrom="paragraph">
            <wp:posOffset>-26035</wp:posOffset>
          </wp:positionV>
          <wp:extent cx="1293495" cy="581660"/>
          <wp:effectExtent l="0" t="0" r="1905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6687D6C" wp14:editId="71A04C3B">
          <wp:simplePos x="0" y="0"/>
          <wp:positionH relativeFrom="column">
            <wp:posOffset>2048510</wp:posOffset>
          </wp:positionH>
          <wp:positionV relativeFrom="paragraph">
            <wp:posOffset>-114300</wp:posOffset>
          </wp:positionV>
          <wp:extent cx="829310" cy="829310"/>
          <wp:effectExtent l="0" t="0" r="889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D9975E3" wp14:editId="734C4214">
          <wp:simplePos x="0" y="0"/>
          <wp:positionH relativeFrom="column">
            <wp:posOffset>2877820</wp:posOffset>
          </wp:positionH>
          <wp:positionV relativeFrom="paragraph">
            <wp:posOffset>-104775</wp:posOffset>
          </wp:positionV>
          <wp:extent cx="585470" cy="810895"/>
          <wp:effectExtent l="0" t="0" r="508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404040"/>
        <w:szCs w:val="20"/>
        <w:lang w:val="es-ES"/>
      </w:rPr>
      <w:drawing>
        <wp:inline distT="0" distB="0" distL="0" distR="0" wp14:anchorId="4F8FF772" wp14:editId="6114A5C1">
          <wp:extent cx="1435418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18D2" w:rsidRDefault="002818D2" w:rsidP="00EC76B4">
    <w:pPr>
      <w:pStyle w:val="Footer"/>
      <w:spacing w:line="360" w:lineRule="auto"/>
      <w:rPr>
        <w:rFonts w:ascii="Calibri" w:hAnsi="Calibri"/>
        <w:b/>
        <w:color w:val="404040"/>
        <w:szCs w:val="20"/>
        <w:lang w:val="es-AR"/>
      </w:rPr>
    </w:pPr>
  </w:p>
  <w:p w:rsidR="00945C03" w:rsidRPr="002818D2" w:rsidRDefault="002818D2" w:rsidP="002818D2">
    <w:pPr>
      <w:pStyle w:val="Footer"/>
      <w:spacing w:line="360" w:lineRule="auto"/>
      <w:jc w:val="center"/>
      <w:rPr>
        <w:rFonts w:ascii="Calibri" w:hAnsi="Calibri"/>
        <w:b/>
        <w:color w:val="0070C0"/>
        <w:sz w:val="28"/>
        <w:szCs w:val="28"/>
        <w:lang w:val="es-AR"/>
      </w:rPr>
    </w:pPr>
    <w:r w:rsidRPr="002818D2">
      <w:rPr>
        <w:rFonts w:ascii="Calibri" w:hAnsi="Calibri"/>
        <w:b/>
        <w:color w:val="0070C0"/>
        <w:sz w:val="28"/>
        <w:szCs w:val="28"/>
        <w:lang w:val="es-AR"/>
      </w:rPr>
      <w:t>PRO</w:t>
    </w:r>
    <w:r w:rsidR="008F1426">
      <w:rPr>
        <w:rFonts w:ascii="Calibri" w:hAnsi="Calibri"/>
        <w:b/>
        <w:color w:val="0070C0"/>
        <w:sz w:val="28"/>
        <w:szCs w:val="28"/>
        <w:lang w:val="es-AR"/>
      </w:rPr>
      <w:t>CESO</w:t>
    </w:r>
    <w:r w:rsidRPr="002818D2">
      <w:rPr>
        <w:rFonts w:ascii="Calibri" w:hAnsi="Calibri"/>
        <w:b/>
        <w:color w:val="0070C0"/>
        <w:sz w:val="28"/>
        <w:szCs w:val="28"/>
        <w:lang w:val="es-AR"/>
      </w:rPr>
      <w:t xml:space="preserve"> </w:t>
    </w:r>
    <w:r w:rsidR="008F1426">
      <w:rPr>
        <w:rFonts w:ascii="Calibri" w:hAnsi="Calibri"/>
        <w:b/>
        <w:color w:val="0070C0"/>
        <w:sz w:val="28"/>
        <w:szCs w:val="28"/>
        <w:lang w:val="es-AR"/>
      </w:rPr>
      <w:t xml:space="preserve">BUENAS PRÁCTICAS Y </w:t>
    </w:r>
    <w:r w:rsidRPr="002818D2">
      <w:rPr>
        <w:rFonts w:ascii="Calibri" w:hAnsi="Calibri"/>
        <w:b/>
        <w:color w:val="0070C0"/>
        <w:sz w:val="28"/>
        <w:szCs w:val="28"/>
        <w:lang w:val="es-AR"/>
      </w:rPr>
      <w:t>HERMANAMIENTOS PUFC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8A"/>
    <w:multiLevelType w:val="hybridMultilevel"/>
    <w:tmpl w:val="223EF2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E3B8B"/>
    <w:multiLevelType w:val="hybridMultilevel"/>
    <w:tmpl w:val="242062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85565"/>
    <w:multiLevelType w:val="hybridMultilevel"/>
    <w:tmpl w:val="4220322C"/>
    <w:lvl w:ilvl="0" w:tplc="762E2F6C">
      <w:start w:val="1"/>
      <w:numFmt w:val="lowerLetter"/>
      <w:lvlText w:val="%1."/>
      <w:lvlJc w:val="left"/>
      <w:pPr>
        <w:ind w:left="53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>
    <w:nsid w:val="0E6E516B"/>
    <w:multiLevelType w:val="hybridMultilevel"/>
    <w:tmpl w:val="3EC2FD5C"/>
    <w:lvl w:ilvl="0" w:tplc="762E2F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F6EE0"/>
    <w:multiLevelType w:val="hybridMultilevel"/>
    <w:tmpl w:val="AC523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650"/>
    <w:multiLevelType w:val="hybridMultilevel"/>
    <w:tmpl w:val="0D26B618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B156E"/>
    <w:multiLevelType w:val="hybridMultilevel"/>
    <w:tmpl w:val="25C086A6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962F3"/>
    <w:multiLevelType w:val="multilevel"/>
    <w:tmpl w:val="F248643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AC05ED6"/>
    <w:multiLevelType w:val="hybridMultilevel"/>
    <w:tmpl w:val="8196C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91A"/>
    <w:multiLevelType w:val="hybridMultilevel"/>
    <w:tmpl w:val="6B922BB2"/>
    <w:lvl w:ilvl="0" w:tplc="340A0019">
      <w:start w:val="1"/>
      <w:numFmt w:val="lowerLetter"/>
      <w:lvlText w:val="%1."/>
      <w:lvlJc w:val="left"/>
      <w:pPr>
        <w:ind w:left="896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2B132B61"/>
    <w:multiLevelType w:val="hybridMultilevel"/>
    <w:tmpl w:val="C4BAC130"/>
    <w:lvl w:ilvl="0" w:tplc="762E2F6C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372659CF"/>
    <w:multiLevelType w:val="hybridMultilevel"/>
    <w:tmpl w:val="55B6B60C"/>
    <w:lvl w:ilvl="0" w:tplc="69EA9B4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6F11"/>
    <w:multiLevelType w:val="hybridMultilevel"/>
    <w:tmpl w:val="934A2522"/>
    <w:lvl w:ilvl="0" w:tplc="06868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D0ABB"/>
    <w:multiLevelType w:val="hybridMultilevel"/>
    <w:tmpl w:val="D67A7D1E"/>
    <w:lvl w:ilvl="0" w:tplc="0AB2D0DE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4">
    <w:nsid w:val="4B2A4477"/>
    <w:multiLevelType w:val="multilevel"/>
    <w:tmpl w:val="8BAC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C05B07"/>
    <w:multiLevelType w:val="hybridMultilevel"/>
    <w:tmpl w:val="DA5EC362"/>
    <w:lvl w:ilvl="0" w:tplc="762E2F6C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>
    <w:nsid w:val="53163E67"/>
    <w:multiLevelType w:val="hybridMultilevel"/>
    <w:tmpl w:val="38EABE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C12D0"/>
    <w:multiLevelType w:val="hybridMultilevel"/>
    <w:tmpl w:val="DC2AC8F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47026E"/>
    <w:multiLevelType w:val="hybridMultilevel"/>
    <w:tmpl w:val="C4F0C054"/>
    <w:lvl w:ilvl="0" w:tplc="F57E6BC4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19135D8"/>
    <w:multiLevelType w:val="hybridMultilevel"/>
    <w:tmpl w:val="A7587D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E05175"/>
    <w:multiLevelType w:val="hybridMultilevel"/>
    <w:tmpl w:val="CB90ECA6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567B5"/>
    <w:multiLevelType w:val="hybridMultilevel"/>
    <w:tmpl w:val="1F100564"/>
    <w:lvl w:ilvl="0" w:tplc="57E2E920">
      <w:start w:val="1"/>
      <w:numFmt w:val="lowerLetter"/>
      <w:lvlText w:val="%1."/>
      <w:lvlJc w:val="left"/>
      <w:pPr>
        <w:ind w:left="53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2">
    <w:nsid w:val="6ED8180B"/>
    <w:multiLevelType w:val="hybridMultilevel"/>
    <w:tmpl w:val="7EF86EEE"/>
    <w:lvl w:ilvl="0" w:tplc="1D6C01B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sz w:val="24"/>
        <w:szCs w:val="24"/>
      </w:rPr>
    </w:lvl>
    <w:lvl w:ilvl="1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19320E"/>
    <w:multiLevelType w:val="hybridMultilevel"/>
    <w:tmpl w:val="A1CA59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93B93"/>
    <w:multiLevelType w:val="hybridMultilevel"/>
    <w:tmpl w:val="F1E438F6"/>
    <w:lvl w:ilvl="0" w:tplc="762E2F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B0F4D"/>
    <w:multiLevelType w:val="hybridMultilevel"/>
    <w:tmpl w:val="7968EC90"/>
    <w:lvl w:ilvl="0" w:tplc="0AB2D0DE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7B1384"/>
    <w:multiLevelType w:val="hybridMultilevel"/>
    <w:tmpl w:val="D1AEA0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210972"/>
    <w:multiLevelType w:val="hybridMultilevel"/>
    <w:tmpl w:val="DED8996C"/>
    <w:lvl w:ilvl="0" w:tplc="90962FAA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">
    <w:abstractNumId w:val="19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23"/>
  </w:num>
  <w:num w:numId="9">
    <w:abstractNumId w:val="26"/>
  </w:num>
  <w:num w:numId="10">
    <w:abstractNumId w:val="0"/>
  </w:num>
  <w:num w:numId="11">
    <w:abstractNumId w:val="9"/>
  </w:num>
  <w:num w:numId="12">
    <w:abstractNumId w:val="21"/>
  </w:num>
  <w:num w:numId="13">
    <w:abstractNumId w:val="15"/>
  </w:num>
  <w:num w:numId="14">
    <w:abstractNumId w:val="2"/>
  </w:num>
  <w:num w:numId="15">
    <w:abstractNumId w:val="3"/>
  </w:num>
  <w:num w:numId="16">
    <w:abstractNumId w:val="10"/>
  </w:num>
  <w:num w:numId="17">
    <w:abstractNumId w:val="24"/>
  </w:num>
  <w:num w:numId="18">
    <w:abstractNumId w:val="13"/>
  </w:num>
  <w:num w:numId="19">
    <w:abstractNumId w:val="4"/>
  </w:num>
  <w:num w:numId="20">
    <w:abstractNumId w:val="12"/>
  </w:num>
  <w:num w:numId="21">
    <w:abstractNumId w:val="25"/>
  </w:num>
  <w:num w:numId="22">
    <w:abstractNumId w:val="20"/>
  </w:num>
  <w:num w:numId="23">
    <w:abstractNumId w:val="5"/>
  </w:num>
  <w:num w:numId="24">
    <w:abstractNumId w:val="6"/>
  </w:num>
  <w:num w:numId="25">
    <w:abstractNumId w:val="8"/>
  </w:num>
  <w:num w:numId="26">
    <w:abstractNumId w:val="18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7"/>
    <w:rsid w:val="00001789"/>
    <w:rsid w:val="00003635"/>
    <w:rsid w:val="000305E0"/>
    <w:rsid w:val="000340BB"/>
    <w:rsid w:val="00037EF3"/>
    <w:rsid w:val="00054122"/>
    <w:rsid w:val="00054960"/>
    <w:rsid w:val="00054D91"/>
    <w:rsid w:val="000609C7"/>
    <w:rsid w:val="00060CB6"/>
    <w:rsid w:val="00061F39"/>
    <w:rsid w:val="00081910"/>
    <w:rsid w:val="000865C3"/>
    <w:rsid w:val="000A519B"/>
    <w:rsid w:val="000B1868"/>
    <w:rsid w:val="000C243B"/>
    <w:rsid w:val="000C5D7A"/>
    <w:rsid w:val="000D12AF"/>
    <w:rsid w:val="000E738A"/>
    <w:rsid w:val="00125753"/>
    <w:rsid w:val="0013751B"/>
    <w:rsid w:val="00137B5F"/>
    <w:rsid w:val="00147DF3"/>
    <w:rsid w:val="0015084A"/>
    <w:rsid w:val="00153653"/>
    <w:rsid w:val="00163932"/>
    <w:rsid w:val="00172834"/>
    <w:rsid w:val="00174274"/>
    <w:rsid w:val="00182B94"/>
    <w:rsid w:val="001A0327"/>
    <w:rsid w:val="001A5EDF"/>
    <w:rsid w:val="001C0762"/>
    <w:rsid w:val="001C163A"/>
    <w:rsid w:val="001D5E73"/>
    <w:rsid w:val="001D6E82"/>
    <w:rsid w:val="001D6EF8"/>
    <w:rsid w:val="001E7A0D"/>
    <w:rsid w:val="001F3A08"/>
    <w:rsid w:val="0022088E"/>
    <w:rsid w:val="002339BE"/>
    <w:rsid w:val="002818D2"/>
    <w:rsid w:val="00297030"/>
    <w:rsid w:val="002A540A"/>
    <w:rsid w:val="002C6889"/>
    <w:rsid w:val="002D2BFF"/>
    <w:rsid w:val="002D530F"/>
    <w:rsid w:val="002D72C0"/>
    <w:rsid w:val="002E2D61"/>
    <w:rsid w:val="002F6764"/>
    <w:rsid w:val="003204FA"/>
    <w:rsid w:val="0032361D"/>
    <w:rsid w:val="0034162D"/>
    <w:rsid w:val="00347A1C"/>
    <w:rsid w:val="0036116C"/>
    <w:rsid w:val="00366414"/>
    <w:rsid w:val="00366FDC"/>
    <w:rsid w:val="00372320"/>
    <w:rsid w:val="00372F98"/>
    <w:rsid w:val="00373822"/>
    <w:rsid w:val="0039259C"/>
    <w:rsid w:val="003A241F"/>
    <w:rsid w:val="003B6626"/>
    <w:rsid w:val="003C4500"/>
    <w:rsid w:val="003C5BCF"/>
    <w:rsid w:val="003C70B1"/>
    <w:rsid w:val="003D513F"/>
    <w:rsid w:val="003F1EC7"/>
    <w:rsid w:val="004000FD"/>
    <w:rsid w:val="004412B6"/>
    <w:rsid w:val="00444359"/>
    <w:rsid w:val="00471EF0"/>
    <w:rsid w:val="00474869"/>
    <w:rsid w:val="004766DA"/>
    <w:rsid w:val="00484DF4"/>
    <w:rsid w:val="004B5E56"/>
    <w:rsid w:val="004D4DDB"/>
    <w:rsid w:val="004E6100"/>
    <w:rsid w:val="004F718E"/>
    <w:rsid w:val="004F73D2"/>
    <w:rsid w:val="0050727A"/>
    <w:rsid w:val="005106D2"/>
    <w:rsid w:val="00514AC2"/>
    <w:rsid w:val="00535F53"/>
    <w:rsid w:val="00555A8F"/>
    <w:rsid w:val="00565C80"/>
    <w:rsid w:val="00572C15"/>
    <w:rsid w:val="00576A27"/>
    <w:rsid w:val="0058260B"/>
    <w:rsid w:val="00585345"/>
    <w:rsid w:val="005A0F35"/>
    <w:rsid w:val="005A1086"/>
    <w:rsid w:val="005A5210"/>
    <w:rsid w:val="005B0E2F"/>
    <w:rsid w:val="005D386A"/>
    <w:rsid w:val="005D71CA"/>
    <w:rsid w:val="005F7828"/>
    <w:rsid w:val="006109C5"/>
    <w:rsid w:val="00626881"/>
    <w:rsid w:val="00627B90"/>
    <w:rsid w:val="00634CC0"/>
    <w:rsid w:val="00661337"/>
    <w:rsid w:val="00691AC2"/>
    <w:rsid w:val="006D1FFA"/>
    <w:rsid w:val="006D7286"/>
    <w:rsid w:val="006E59B9"/>
    <w:rsid w:val="00704916"/>
    <w:rsid w:val="00710C47"/>
    <w:rsid w:val="0072519A"/>
    <w:rsid w:val="00743E7C"/>
    <w:rsid w:val="007671B0"/>
    <w:rsid w:val="00772E14"/>
    <w:rsid w:val="00777B75"/>
    <w:rsid w:val="007825CC"/>
    <w:rsid w:val="007D01DC"/>
    <w:rsid w:val="007D53AE"/>
    <w:rsid w:val="007E0822"/>
    <w:rsid w:val="007E515F"/>
    <w:rsid w:val="007E7DAA"/>
    <w:rsid w:val="0083266D"/>
    <w:rsid w:val="00874794"/>
    <w:rsid w:val="00876664"/>
    <w:rsid w:val="00884601"/>
    <w:rsid w:val="008864A6"/>
    <w:rsid w:val="008B0902"/>
    <w:rsid w:val="008B59A3"/>
    <w:rsid w:val="008B5B55"/>
    <w:rsid w:val="008B6AB3"/>
    <w:rsid w:val="008C47CE"/>
    <w:rsid w:val="008E19A7"/>
    <w:rsid w:val="008F1292"/>
    <w:rsid w:val="008F1426"/>
    <w:rsid w:val="00912CE8"/>
    <w:rsid w:val="00940AFD"/>
    <w:rsid w:val="0094241F"/>
    <w:rsid w:val="00945C03"/>
    <w:rsid w:val="00946859"/>
    <w:rsid w:val="009A2448"/>
    <w:rsid w:val="009B508F"/>
    <w:rsid w:val="009C2D13"/>
    <w:rsid w:val="009D025E"/>
    <w:rsid w:val="009F05A7"/>
    <w:rsid w:val="009F7EAD"/>
    <w:rsid w:val="00A15FE9"/>
    <w:rsid w:val="00A262AB"/>
    <w:rsid w:val="00A35A5E"/>
    <w:rsid w:val="00A40B67"/>
    <w:rsid w:val="00A41C2E"/>
    <w:rsid w:val="00A876E4"/>
    <w:rsid w:val="00AA505E"/>
    <w:rsid w:val="00AA627A"/>
    <w:rsid w:val="00AC49BA"/>
    <w:rsid w:val="00AE6535"/>
    <w:rsid w:val="00B0247B"/>
    <w:rsid w:val="00B04025"/>
    <w:rsid w:val="00B06E25"/>
    <w:rsid w:val="00B414A3"/>
    <w:rsid w:val="00B63FC4"/>
    <w:rsid w:val="00B80CAE"/>
    <w:rsid w:val="00B820E1"/>
    <w:rsid w:val="00BA5EAE"/>
    <w:rsid w:val="00BC1858"/>
    <w:rsid w:val="00C208E7"/>
    <w:rsid w:val="00C27618"/>
    <w:rsid w:val="00C32219"/>
    <w:rsid w:val="00C55603"/>
    <w:rsid w:val="00C57E0D"/>
    <w:rsid w:val="00C61F98"/>
    <w:rsid w:val="00C8247C"/>
    <w:rsid w:val="00C830EF"/>
    <w:rsid w:val="00C94C9D"/>
    <w:rsid w:val="00CA1F80"/>
    <w:rsid w:val="00CA44AC"/>
    <w:rsid w:val="00CA7111"/>
    <w:rsid w:val="00CD4428"/>
    <w:rsid w:val="00CD64E7"/>
    <w:rsid w:val="00CD766C"/>
    <w:rsid w:val="00CE3400"/>
    <w:rsid w:val="00D04B85"/>
    <w:rsid w:val="00D05D51"/>
    <w:rsid w:val="00D32EDC"/>
    <w:rsid w:val="00D3347C"/>
    <w:rsid w:val="00D75015"/>
    <w:rsid w:val="00D909D3"/>
    <w:rsid w:val="00DD0A1F"/>
    <w:rsid w:val="00DD64F8"/>
    <w:rsid w:val="00E00966"/>
    <w:rsid w:val="00E07C0B"/>
    <w:rsid w:val="00E22BEE"/>
    <w:rsid w:val="00E43238"/>
    <w:rsid w:val="00E52899"/>
    <w:rsid w:val="00E9098B"/>
    <w:rsid w:val="00E90D2C"/>
    <w:rsid w:val="00EA4E84"/>
    <w:rsid w:val="00EC76B4"/>
    <w:rsid w:val="00ED3F25"/>
    <w:rsid w:val="00EE3249"/>
    <w:rsid w:val="00EE6A7D"/>
    <w:rsid w:val="00F165AB"/>
    <w:rsid w:val="00F27697"/>
    <w:rsid w:val="00F56ADB"/>
    <w:rsid w:val="00F809A5"/>
    <w:rsid w:val="00FA4DC4"/>
    <w:rsid w:val="00FC350C"/>
    <w:rsid w:val="00FC425A"/>
    <w:rsid w:val="00FD41D4"/>
    <w:rsid w:val="00FD49B5"/>
    <w:rsid w:val="00FE0740"/>
    <w:rsid w:val="00FF35CA"/>
    <w:rsid w:val="00FF60C5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B1"/>
    <w:pPr>
      <w:spacing w:after="120"/>
      <w:jc w:val="both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0CB6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color w:val="365F91"/>
      <w:sz w:val="28"/>
      <w:szCs w:val="20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C5B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7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57E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HeaderChar">
    <w:name w:val="Header Char"/>
    <w:link w:val="Header"/>
    <w:uiPriority w:val="99"/>
    <w:locked/>
    <w:rsid w:val="00661337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FooterChar">
    <w:name w:val="Footer Char"/>
    <w:link w:val="Footer"/>
    <w:uiPriority w:val="99"/>
    <w:locked/>
    <w:rsid w:val="00661337"/>
    <w:rPr>
      <w:rFonts w:cs="Times New Roman"/>
      <w:sz w:val="24"/>
      <w:lang w:val="en-US"/>
    </w:rPr>
  </w:style>
  <w:style w:type="table" w:styleId="TableGrid">
    <w:name w:val="Table Grid"/>
    <w:basedOn w:val="TableNormal"/>
    <w:rsid w:val="00661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C70B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igna">
    <w:name w:val="consigna"/>
    <w:basedOn w:val="Normal"/>
    <w:uiPriority w:val="99"/>
    <w:rsid w:val="003C70B1"/>
    <w:rPr>
      <w:color w:val="7F7F7F"/>
      <w:sz w:val="18"/>
    </w:rPr>
  </w:style>
  <w:style w:type="paragraph" w:customStyle="1" w:styleId="punto1">
    <w:name w:val="punto 1"/>
    <w:basedOn w:val="consigna"/>
    <w:uiPriority w:val="99"/>
    <w:rsid w:val="003C70B1"/>
    <w:pPr>
      <w:spacing w:after="80"/>
      <w:ind w:firstLine="851"/>
    </w:pPr>
  </w:style>
  <w:style w:type="paragraph" w:customStyle="1" w:styleId="punto2">
    <w:name w:val="punto 2"/>
    <w:basedOn w:val="punto1"/>
    <w:uiPriority w:val="99"/>
    <w:rsid w:val="003C70B1"/>
    <w:pPr>
      <w:ind w:left="1135" w:hanging="284"/>
    </w:pPr>
  </w:style>
  <w:style w:type="paragraph" w:customStyle="1" w:styleId="titulo">
    <w:name w:val="titulo"/>
    <w:basedOn w:val="Normal"/>
    <w:uiPriority w:val="99"/>
    <w:rsid w:val="003C70B1"/>
    <w:rPr>
      <w:color w:val="658D9E"/>
      <w:sz w:val="32"/>
    </w:rPr>
  </w:style>
  <w:style w:type="paragraph" w:customStyle="1" w:styleId="subtitulo">
    <w:name w:val="subtitulo"/>
    <w:basedOn w:val="Normal"/>
    <w:uiPriority w:val="99"/>
    <w:rsid w:val="003C70B1"/>
    <w:pPr>
      <w:tabs>
        <w:tab w:val="left" w:pos="567"/>
      </w:tabs>
      <w:spacing w:before="360"/>
    </w:pPr>
    <w:rPr>
      <w:color w:val="486672"/>
      <w:sz w:val="28"/>
    </w:rPr>
  </w:style>
  <w:style w:type="paragraph" w:customStyle="1" w:styleId="subsub">
    <w:name w:val="subsub"/>
    <w:basedOn w:val="Normal"/>
    <w:uiPriority w:val="99"/>
    <w:rsid w:val="003C70B1"/>
    <w:pPr>
      <w:tabs>
        <w:tab w:val="left" w:pos="851"/>
      </w:tabs>
      <w:spacing w:before="120"/>
      <w:ind w:left="284" w:firstLine="284"/>
    </w:pPr>
    <w:rPr>
      <w:color w:val="800000"/>
    </w:rPr>
  </w:style>
  <w:style w:type="paragraph" w:customStyle="1" w:styleId="punto0">
    <w:name w:val="punto 0"/>
    <w:basedOn w:val="punto1"/>
    <w:uiPriority w:val="99"/>
    <w:rsid w:val="003C70B1"/>
    <w:pPr>
      <w:ind w:left="851" w:firstLine="0"/>
    </w:pPr>
  </w:style>
  <w:style w:type="paragraph" w:styleId="NormalWeb">
    <w:name w:val="Normal (Web)"/>
    <w:basedOn w:val="Normal"/>
    <w:uiPriority w:val="99"/>
    <w:rsid w:val="003C70B1"/>
    <w:pPr>
      <w:spacing w:beforeLines="1" w:afterLines="1"/>
    </w:pPr>
    <w:rPr>
      <w:rFonts w:ascii="Times" w:hAnsi="Times"/>
      <w:szCs w:val="20"/>
      <w:lang w:val="es-ES_tradnl"/>
    </w:rPr>
  </w:style>
  <w:style w:type="paragraph" w:customStyle="1" w:styleId="punto00">
    <w:name w:val="punto 00"/>
    <w:basedOn w:val="Normal"/>
    <w:uiPriority w:val="99"/>
    <w:rsid w:val="003C70B1"/>
    <w:pPr>
      <w:spacing w:after="240"/>
    </w:pPr>
    <w:rPr>
      <w:color w:val="7F7F7F"/>
      <w:sz w:val="18"/>
    </w:rPr>
  </w:style>
  <w:style w:type="paragraph" w:customStyle="1" w:styleId="punto000">
    <w:name w:val="punto 000"/>
    <w:basedOn w:val="punto0"/>
    <w:uiPriority w:val="99"/>
    <w:rsid w:val="003C70B1"/>
    <w:pPr>
      <w:ind w:left="567"/>
    </w:pPr>
  </w:style>
  <w:style w:type="character" w:styleId="PageNumber">
    <w:name w:val="page number"/>
    <w:uiPriority w:val="99"/>
    <w:rsid w:val="003C70B1"/>
    <w:rPr>
      <w:rFonts w:cs="Times New Roman"/>
    </w:rPr>
  </w:style>
  <w:style w:type="paragraph" w:customStyle="1" w:styleId="Style1">
    <w:name w:val="Style1"/>
    <w:basedOn w:val="subtitulo"/>
    <w:uiPriority w:val="99"/>
    <w:rsid w:val="003C70B1"/>
    <w:pPr>
      <w:spacing w:before="120"/>
    </w:pPr>
    <w:rPr>
      <w:color w:val="FFFFFF"/>
      <w:lang w:val="es-AR"/>
    </w:rPr>
  </w:style>
  <w:style w:type="paragraph" w:customStyle="1" w:styleId="Style2">
    <w:name w:val="Style2"/>
    <w:basedOn w:val="Style1"/>
    <w:uiPriority w:val="99"/>
    <w:rsid w:val="003C70B1"/>
  </w:style>
  <w:style w:type="paragraph" w:customStyle="1" w:styleId="tit">
    <w:name w:val="tit"/>
    <w:basedOn w:val="Style1"/>
    <w:uiPriority w:val="99"/>
    <w:rsid w:val="003C70B1"/>
  </w:style>
  <w:style w:type="paragraph" w:customStyle="1" w:styleId="complete">
    <w:name w:val="complete"/>
    <w:basedOn w:val="Normal"/>
    <w:uiPriority w:val="99"/>
    <w:rsid w:val="003C70B1"/>
    <w:rPr>
      <w:rFonts w:ascii="Times New Roman" w:hAnsi="Times New Roman"/>
      <w:lang w:val="es-AR"/>
    </w:rPr>
  </w:style>
  <w:style w:type="table" w:styleId="MediumList2-Accent2">
    <w:name w:val="Medium List 2 Accent 2"/>
    <w:basedOn w:val="TableNormal"/>
    <w:uiPriority w:val="99"/>
    <w:rsid w:val="0094685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F60C5"/>
    <w:pPr>
      <w:ind w:left="720"/>
      <w:contextualSpacing/>
    </w:pPr>
  </w:style>
  <w:style w:type="character" w:styleId="Hyperlink">
    <w:name w:val="Hyperlink"/>
    <w:uiPriority w:val="99"/>
    <w:rsid w:val="00FC425A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60CB6"/>
    <w:rPr>
      <w:rFonts w:ascii="Cambria" w:hAnsi="Cambria"/>
      <w:b/>
      <w:color w:val="365F91"/>
      <w:sz w:val="28"/>
      <w:lang w:val="es-CL" w:eastAsia="en-US"/>
    </w:rPr>
  </w:style>
  <w:style w:type="paragraph" w:styleId="Title">
    <w:name w:val="Title"/>
    <w:basedOn w:val="Normal"/>
    <w:link w:val="TitleChar"/>
    <w:qFormat/>
    <w:locked/>
    <w:rsid w:val="004F73D2"/>
    <w:pPr>
      <w:spacing w:after="0"/>
      <w:jc w:val="center"/>
    </w:pPr>
    <w:rPr>
      <w:rFonts w:ascii="Arial Black" w:eastAsia="Times New Roman" w:hAnsi="Arial Black"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4F73D2"/>
    <w:rPr>
      <w:rFonts w:ascii="Arial Black" w:eastAsia="Times New Roman" w:hAnsi="Arial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B1"/>
    <w:pPr>
      <w:spacing w:after="120"/>
      <w:jc w:val="both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0CB6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color w:val="365F91"/>
      <w:sz w:val="28"/>
      <w:szCs w:val="20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C5B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7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57E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HeaderChar">
    <w:name w:val="Header Char"/>
    <w:link w:val="Header"/>
    <w:uiPriority w:val="99"/>
    <w:locked/>
    <w:rsid w:val="00661337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FooterChar">
    <w:name w:val="Footer Char"/>
    <w:link w:val="Footer"/>
    <w:uiPriority w:val="99"/>
    <w:locked/>
    <w:rsid w:val="00661337"/>
    <w:rPr>
      <w:rFonts w:cs="Times New Roman"/>
      <w:sz w:val="24"/>
      <w:lang w:val="en-US"/>
    </w:rPr>
  </w:style>
  <w:style w:type="table" w:styleId="TableGrid">
    <w:name w:val="Table Grid"/>
    <w:basedOn w:val="TableNormal"/>
    <w:rsid w:val="00661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C70B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igna">
    <w:name w:val="consigna"/>
    <w:basedOn w:val="Normal"/>
    <w:uiPriority w:val="99"/>
    <w:rsid w:val="003C70B1"/>
    <w:rPr>
      <w:color w:val="7F7F7F"/>
      <w:sz w:val="18"/>
    </w:rPr>
  </w:style>
  <w:style w:type="paragraph" w:customStyle="1" w:styleId="punto1">
    <w:name w:val="punto 1"/>
    <w:basedOn w:val="consigna"/>
    <w:uiPriority w:val="99"/>
    <w:rsid w:val="003C70B1"/>
    <w:pPr>
      <w:spacing w:after="80"/>
      <w:ind w:firstLine="851"/>
    </w:pPr>
  </w:style>
  <w:style w:type="paragraph" w:customStyle="1" w:styleId="punto2">
    <w:name w:val="punto 2"/>
    <w:basedOn w:val="punto1"/>
    <w:uiPriority w:val="99"/>
    <w:rsid w:val="003C70B1"/>
    <w:pPr>
      <w:ind w:left="1135" w:hanging="284"/>
    </w:pPr>
  </w:style>
  <w:style w:type="paragraph" w:customStyle="1" w:styleId="titulo">
    <w:name w:val="titulo"/>
    <w:basedOn w:val="Normal"/>
    <w:uiPriority w:val="99"/>
    <w:rsid w:val="003C70B1"/>
    <w:rPr>
      <w:color w:val="658D9E"/>
      <w:sz w:val="32"/>
    </w:rPr>
  </w:style>
  <w:style w:type="paragraph" w:customStyle="1" w:styleId="subtitulo">
    <w:name w:val="subtitulo"/>
    <w:basedOn w:val="Normal"/>
    <w:uiPriority w:val="99"/>
    <w:rsid w:val="003C70B1"/>
    <w:pPr>
      <w:tabs>
        <w:tab w:val="left" w:pos="567"/>
      </w:tabs>
      <w:spacing w:before="360"/>
    </w:pPr>
    <w:rPr>
      <w:color w:val="486672"/>
      <w:sz w:val="28"/>
    </w:rPr>
  </w:style>
  <w:style w:type="paragraph" w:customStyle="1" w:styleId="subsub">
    <w:name w:val="subsub"/>
    <w:basedOn w:val="Normal"/>
    <w:uiPriority w:val="99"/>
    <w:rsid w:val="003C70B1"/>
    <w:pPr>
      <w:tabs>
        <w:tab w:val="left" w:pos="851"/>
      </w:tabs>
      <w:spacing w:before="120"/>
      <w:ind w:left="284" w:firstLine="284"/>
    </w:pPr>
    <w:rPr>
      <w:color w:val="800000"/>
    </w:rPr>
  </w:style>
  <w:style w:type="paragraph" w:customStyle="1" w:styleId="punto0">
    <w:name w:val="punto 0"/>
    <w:basedOn w:val="punto1"/>
    <w:uiPriority w:val="99"/>
    <w:rsid w:val="003C70B1"/>
    <w:pPr>
      <w:ind w:left="851" w:firstLine="0"/>
    </w:pPr>
  </w:style>
  <w:style w:type="paragraph" w:styleId="NormalWeb">
    <w:name w:val="Normal (Web)"/>
    <w:basedOn w:val="Normal"/>
    <w:uiPriority w:val="99"/>
    <w:rsid w:val="003C70B1"/>
    <w:pPr>
      <w:spacing w:beforeLines="1" w:afterLines="1"/>
    </w:pPr>
    <w:rPr>
      <w:rFonts w:ascii="Times" w:hAnsi="Times"/>
      <w:szCs w:val="20"/>
      <w:lang w:val="es-ES_tradnl"/>
    </w:rPr>
  </w:style>
  <w:style w:type="paragraph" w:customStyle="1" w:styleId="punto00">
    <w:name w:val="punto 00"/>
    <w:basedOn w:val="Normal"/>
    <w:uiPriority w:val="99"/>
    <w:rsid w:val="003C70B1"/>
    <w:pPr>
      <w:spacing w:after="240"/>
    </w:pPr>
    <w:rPr>
      <w:color w:val="7F7F7F"/>
      <w:sz w:val="18"/>
    </w:rPr>
  </w:style>
  <w:style w:type="paragraph" w:customStyle="1" w:styleId="punto000">
    <w:name w:val="punto 000"/>
    <w:basedOn w:val="punto0"/>
    <w:uiPriority w:val="99"/>
    <w:rsid w:val="003C70B1"/>
    <w:pPr>
      <w:ind w:left="567"/>
    </w:pPr>
  </w:style>
  <w:style w:type="character" w:styleId="PageNumber">
    <w:name w:val="page number"/>
    <w:uiPriority w:val="99"/>
    <w:rsid w:val="003C70B1"/>
    <w:rPr>
      <w:rFonts w:cs="Times New Roman"/>
    </w:rPr>
  </w:style>
  <w:style w:type="paragraph" w:customStyle="1" w:styleId="Style1">
    <w:name w:val="Style1"/>
    <w:basedOn w:val="subtitulo"/>
    <w:uiPriority w:val="99"/>
    <w:rsid w:val="003C70B1"/>
    <w:pPr>
      <w:spacing w:before="120"/>
    </w:pPr>
    <w:rPr>
      <w:color w:val="FFFFFF"/>
      <w:lang w:val="es-AR"/>
    </w:rPr>
  </w:style>
  <w:style w:type="paragraph" w:customStyle="1" w:styleId="Style2">
    <w:name w:val="Style2"/>
    <w:basedOn w:val="Style1"/>
    <w:uiPriority w:val="99"/>
    <w:rsid w:val="003C70B1"/>
  </w:style>
  <w:style w:type="paragraph" w:customStyle="1" w:styleId="tit">
    <w:name w:val="tit"/>
    <w:basedOn w:val="Style1"/>
    <w:uiPriority w:val="99"/>
    <w:rsid w:val="003C70B1"/>
  </w:style>
  <w:style w:type="paragraph" w:customStyle="1" w:styleId="complete">
    <w:name w:val="complete"/>
    <w:basedOn w:val="Normal"/>
    <w:uiPriority w:val="99"/>
    <w:rsid w:val="003C70B1"/>
    <w:rPr>
      <w:rFonts w:ascii="Times New Roman" w:hAnsi="Times New Roman"/>
      <w:lang w:val="es-AR"/>
    </w:rPr>
  </w:style>
  <w:style w:type="table" w:styleId="MediumList2-Accent2">
    <w:name w:val="Medium List 2 Accent 2"/>
    <w:basedOn w:val="TableNormal"/>
    <w:uiPriority w:val="99"/>
    <w:rsid w:val="0094685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F60C5"/>
    <w:pPr>
      <w:ind w:left="720"/>
      <w:contextualSpacing/>
    </w:pPr>
  </w:style>
  <w:style w:type="character" w:styleId="Hyperlink">
    <w:name w:val="Hyperlink"/>
    <w:uiPriority w:val="99"/>
    <w:rsid w:val="00FC425A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60CB6"/>
    <w:rPr>
      <w:rFonts w:ascii="Cambria" w:hAnsi="Cambria"/>
      <w:b/>
      <w:color w:val="365F91"/>
      <w:sz w:val="28"/>
      <w:lang w:val="es-CL" w:eastAsia="en-US"/>
    </w:rPr>
  </w:style>
  <w:style w:type="paragraph" w:styleId="Title">
    <w:name w:val="Title"/>
    <w:basedOn w:val="Normal"/>
    <w:link w:val="TitleChar"/>
    <w:qFormat/>
    <w:locked/>
    <w:rsid w:val="004F73D2"/>
    <w:pPr>
      <w:spacing w:after="0"/>
      <w:jc w:val="center"/>
    </w:pPr>
    <w:rPr>
      <w:rFonts w:ascii="Arial Black" w:eastAsia="Times New Roman" w:hAnsi="Arial Black"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4F73D2"/>
    <w:rPr>
      <w:rFonts w:ascii="Arial Black" w:eastAsia="Times New Roman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CCCCCC"/>
            <w:right w:val="none" w:sz="0" w:space="4" w:color="auto"/>
          </w:divBdr>
        </w:div>
      </w:divsChild>
    </w:div>
    <w:div w:id="267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1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CCCCCC"/>
            <w:right w:val="none" w:sz="0" w:space="4" w:color="auto"/>
          </w:divBdr>
        </w:div>
      </w:divsChild>
    </w:div>
    <w:div w:id="1584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opa.org/index.php/operator-profiles/2932-empresa-metropolitana-de-alcantarillado-y-agua-potable-de-qui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wopa.org/index.php/operator-profiles/2998-companhia-de-saneamento-basico-do-estado-de-sao-paul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C256-48D3-4A44-B583-E41B8799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4690</TotalTime>
  <Pages>5</Pages>
  <Words>774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FINAL</vt:lpstr>
      <vt:lpstr>INFORME FINAL</vt:lpstr>
    </vt:vector>
  </TitlesOfParts>
  <Company>SEM SA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Fernanda Alonso</dc:creator>
  <cp:lastModifiedBy>User7</cp:lastModifiedBy>
  <cp:revision>24</cp:revision>
  <cp:lastPrinted>2014-03-18T12:25:00Z</cp:lastPrinted>
  <dcterms:created xsi:type="dcterms:W3CDTF">2015-03-26T22:40:00Z</dcterms:created>
  <dcterms:modified xsi:type="dcterms:W3CDTF">2015-04-05T18:26:00Z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-1724566882</vt:i4>
  </property>
  <property fmtid="{D5CDD505-2E9C-101B-9397-08002B2CF9AE}" pid="3" name="_NewReviewCycle">
    <vt:lpwstr/>
  </property>
  <property fmtid="{D5CDD505-2E9C-101B-9397-08002B2CF9AE}" pid="4" name="_EmailSubject">
    <vt:lpwstr>Proyecto</vt:lpwstr>
  </property>
  <property fmtid="{D5CDD505-2E9C-101B-9397-08002B2CF9AE}" pid="5" name="_AuthorEmail">
    <vt:lpwstr>gsaavedra@fesan.coop</vt:lpwstr>
  </property>
  <property fmtid="{D5CDD505-2E9C-101B-9397-08002B2CF9AE}" pid="6" name="_AuthorEmailDisplayName">
    <vt:lpwstr>Guillermo Saavedra (FESAN)</vt:lpwstr>
  </property>
  <property fmtid="{D5CDD505-2E9C-101B-9397-08002B2CF9AE}" pid="7" name="_PreviousAdHocReviewCycleID">
    <vt:i4>240069661</vt:i4>
  </property>
  <property fmtid="{D5CDD505-2E9C-101B-9397-08002B2CF9AE}" pid="8" name="_ReviewingToolsShownOnce">
    <vt:lpwstr/>
  </property>
</Properties>
</file>